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F635CB" w14:textId="4D48D298" w:rsidR="007B6F6F" w:rsidRPr="00D36108" w:rsidRDefault="00FE03B1">
      <w:pPr>
        <w:rPr>
          <w:b/>
          <w:lang w:val="nl-NL"/>
        </w:rPr>
      </w:pPr>
      <w:bookmarkStart w:id="0" w:name="_GoBack"/>
      <w:bookmarkEnd w:id="0"/>
      <w:r w:rsidRPr="00D36108">
        <w:rPr>
          <w:b/>
          <w:lang w:val="nl-NL"/>
        </w:rPr>
        <w:t xml:space="preserve">Impressie bijeenkomst financiële experts </w:t>
      </w:r>
      <w:r w:rsidR="00783FC1">
        <w:rPr>
          <w:b/>
          <w:lang w:val="nl-NL"/>
        </w:rPr>
        <w:t>19</w:t>
      </w:r>
      <w:r w:rsidRPr="00D36108">
        <w:rPr>
          <w:b/>
          <w:lang w:val="nl-NL"/>
        </w:rPr>
        <w:t>-</w:t>
      </w:r>
      <w:r w:rsidR="00783FC1">
        <w:rPr>
          <w:b/>
          <w:lang w:val="nl-NL"/>
        </w:rPr>
        <w:t>4</w:t>
      </w:r>
      <w:r w:rsidRPr="00D36108">
        <w:rPr>
          <w:b/>
          <w:lang w:val="nl-NL"/>
        </w:rPr>
        <w:t>-2018</w:t>
      </w:r>
      <w:r w:rsidR="00D36108" w:rsidRPr="00D36108">
        <w:rPr>
          <w:b/>
          <w:lang w:val="nl-NL"/>
        </w:rPr>
        <w:t xml:space="preserve"> </w:t>
      </w:r>
    </w:p>
    <w:p w14:paraId="2A7A7A60" w14:textId="7CEA4490" w:rsidR="00FE03B1" w:rsidRDefault="00FE03B1">
      <w:pPr>
        <w:rPr>
          <w:lang w:val="nl-NL"/>
        </w:rPr>
      </w:pPr>
      <w:r>
        <w:rPr>
          <w:lang w:val="nl-NL"/>
        </w:rPr>
        <w:t xml:space="preserve">Op </w:t>
      </w:r>
      <w:r w:rsidR="00783FC1">
        <w:rPr>
          <w:lang w:val="nl-NL"/>
        </w:rPr>
        <w:t xml:space="preserve">19 april vond het vervolg plaats op de bijeenkomst </w:t>
      </w:r>
      <w:r w:rsidR="00B6180B">
        <w:rPr>
          <w:lang w:val="nl-NL"/>
        </w:rPr>
        <w:t xml:space="preserve">in februari waarin we met het netwerk alle onderwerpen verzamelden waarvan </w:t>
      </w:r>
      <w:r w:rsidR="0011533B">
        <w:rPr>
          <w:lang w:val="nl-NL"/>
        </w:rPr>
        <w:t xml:space="preserve">één of meer leden in het netwerk de behoefte voelde om deze verder uit te diepen tot een uniform toepasbare </w:t>
      </w:r>
      <w:r w:rsidR="00CD2CBC">
        <w:rPr>
          <w:lang w:val="nl-NL"/>
        </w:rPr>
        <w:t xml:space="preserve">uitleg. </w:t>
      </w:r>
      <w:r w:rsidR="007820D6">
        <w:rPr>
          <w:lang w:val="nl-NL"/>
        </w:rPr>
        <w:t xml:space="preserve">De onderwerpen betroffen </w:t>
      </w:r>
      <w:proofErr w:type="spellStart"/>
      <w:r w:rsidR="007820D6">
        <w:rPr>
          <w:lang w:val="nl-NL"/>
        </w:rPr>
        <w:t>levensduurverlengende</w:t>
      </w:r>
      <w:proofErr w:type="spellEnd"/>
      <w:r w:rsidR="007820D6">
        <w:rPr>
          <w:lang w:val="nl-NL"/>
        </w:rPr>
        <w:t xml:space="preserve"> investeringen in relatie tot groot onderhoud, het momentum van de intentie tot duurzame exploitatie, de restwaarde van vastgoed</w:t>
      </w:r>
      <w:r w:rsidR="00D36108">
        <w:rPr>
          <w:lang w:val="nl-NL"/>
        </w:rPr>
        <w:t>, de categorisering van het vastgoed van IV3 naar I4all</w:t>
      </w:r>
      <w:r w:rsidR="007820D6">
        <w:rPr>
          <w:lang w:val="nl-NL"/>
        </w:rPr>
        <w:t xml:space="preserve"> en de benodigde zinvolle juiste doorvertaling van het BBV naar de lokale verordening.</w:t>
      </w:r>
    </w:p>
    <w:p w14:paraId="5CD18171" w14:textId="11A5403E" w:rsidR="00CD2CBC" w:rsidRDefault="007544BA">
      <w:pPr>
        <w:rPr>
          <w:lang w:val="nl-NL"/>
        </w:rPr>
      </w:pPr>
      <w:r>
        <w:rPr>
          <w:lang w:val="nl-NL"/>
        </w:rPr>
        <w:t xml:space="preserve">Per onderwerp </w:t>
      </w:r>
      <w:r w:rsidR="00D165E5">
        <w:rPr>
          <w:lang w:val="nl-NL"/>
        </w:rPr>
        <w:t xml:space="preserve">geven we </w:t>
      </w:r>
      <w:r w:rsidR="008C0755">
        <w:rPr>
          <w:lang w:val="nl-NL"/>
        </w:rPr>
        <w:t>de uitkomsten weer en de manier waarop we het onderwerp meenemen naar de volgende sessie</w:t>
      </w:r>
      <w:r w:rsidR="00D165E5">
        <w:rPr>
          <w:lang w:val="nl-NL"/>
        </w:rPr>
        <w:t>.</w:t>
      </w:r>
    </w:p>
    <w:p w14:paraId="20A02A69" w14:textId="037B96EA" w:rsidR="00D165E5" w:rsidRPr="004B1804" w:rsidRDefault="00FD0C29" w:rsidP="00D165E5">
      <w:pPr>
        <w:pStyle w:val="Lijstalinea"/>
        <w:numPr>
          <w:ilvl w:val="0"/>
          <w:numId w:val="2"/>
        </w:numPr>
        <w:rPr>
          <w:b/>
          <w:lang w:val="nl-NL"/>
        </w:rPr>
      </w:pPr>
      <w:r w:rsidRPr="004B1804">
        <w:rPr>
          <w:b/>
          <w:lang w:val="nl-NL"/>
        </w:rPr>
        <w:t xml:space="preserve">Activeren of niet: </w:t>
      </w:r>
      <w:proofErr w:type="spellStart"/>
      <w:r w:rsidR="003A57AE" w:rsidRPr="004B1804">
        <w:rPr>
          <w:b/>
          <w:lang w:val="nl-NL"/>
        </w:rPr>
        <w:t>levensduurverlengende</w:t>
      </w:r>
      <w:proofErr w:type="spellEnd"/>
      <w:r w:rsidR="003A57AE" w:rsidRPr="004B1804">
        <w:rPr>
          <w:b/>
          <w:lang w:val="nl-NL"/>
        </w:rPr>
        <w:t xml:space="preserve"> investeringen in relatie tot groot onderhoud, de componentenmethode en </w:t>
      </w:r>
      <w:r w:rsidRPr="004B1804">
        <w:rPr>
          <w:b/>
          <w:lang w:val="nl-NL"/>
        </w:rPr>
        <w:t>onderhoudsvoorzieningen</w:t>
      </w:r>
    </w:p>
    <w:p w14:paraId="59128BF7" w14:textId="151BD62F" w:rsidR="003F291D" w:rsidRDefault="003F291D" w:rsidP="003F291D">
      <w:pPr>
        <w:pStyle w:val="Default"/>
        <w:spacing w:after="27"/>
        <w:ind w:left="720"/>
        <w:rPr>
          <w:sz w:val="22"/>
          <w:szCs w:val="22"/>
        </w:rPr>
      </w:pPr>
      <w:r>
        <w:rPr>
          <w:sz w:val="22"/>
          <w:szCs w:val="22"/>
        </w:rPr>
        <w:t>In de notitie materiële vaste activa van december 2017 zijn de voorwaarden om te mogen activeren verhelderd en verruimd</w:t>
      </w:r>
      <w:r w:rsidR="00A60971">
        <w:rPr>
          <w:sz w:val="22"/>
          <w:szCs w:val="22"/>
        </w:rPr>
        <w:t xml:space="preserve">. Niet langer is alleen het criterium van </w:t>
      </w:r>
      <w:proofErr w:type="spellStart"/>
      <w:r w:rsidR="00A60971">
        <w:rPr>
          <w:sz w:val="22"/>
          <w:szCs w:val="22"/>
        </w:rPr>
        <w:t>levensduurverlengend</w:t>
      </w:r>
      <w:proofErr w:type="spellEnd"/>
      <w:r w:rsidR="00A60971">
        <w:rPr>
          <w:sz w:val="22"/>
          <w:szCs w:val="22"/>
        </w:rPr>
        <w:t xml:space="preserve"> zijn van de ingreep de voorwaarde. In de notitie worden de volgende voorwaarden beschreven:</w:t>
      </w:r>
    </w:p>
    <w:p w14:paraId="06EFB5DD" w14:textId="78DD33A0" w:rsidR="00D165E5" w:rsidRDefault="00D165E5" w:rsidP="00D165E5">
      <w:pPr>
        <w:pStyle w:val="Default"/>
        <w:numPr>
          <w:ilvl w:val="0"/>
          <w:numId w:val="1"/>
        </w:numPr>
        <w:spacing w:after="27"/>
        <w:rPr>
          <w:sz w:val="22"/>
          <w:szCs w:val="22"/>
        </w:rPr>
      </w:pPr>
      <w:r>
        <w:rPr>
          <w:sz w:val="22"/>
          <w:szCs w:val="22"/>
        </w:rPr>
        <w:t xml:space="preserve">leiden tot een significante kwaliteitsverbetering; en/of </w:t>
      </w:r>
    </w:p>
    <w:p w14:paraId="352093A9" w14:textId="77777777" w:rsidR="00D165E5" w:rsidRDefault="00D165E5" w:rsidP="00D165E5">
      <w:pPr>
        <w:pStyle w:val="Default"/>
        <w:numPr>
          <w:ilvl w:val="0"/>
          <w:numId w:val="1"/>
        </w:numPr>
        <w:spacing w:after="27"/>
        <w:rPr>
          <w:sz w:val="22"/>
          <w:szCs w:val="22"/>
        </w:rPr>
      </w:pPr>
      <w:r>
        <w:rPr>
          <w:sz w:val="22"/>
          <w:szCs w:val="22"/>
        </w:rPr>
        <w:t xml:space="preserve">leiden tot een levensduurverlenging; en/of </w:t>
      </w:r>
    </w:p>
    <w:p w14:paraId="3DCD92F6" w14:textId="77777777" w:rsidR="00D165E5" w:rsidRDefault="00D165E5" w:rsidP="00D165E5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aanpassingen betreffen om te voldoen aan wet- en regelgeving (bijv. investeringen in een gebouw om te voldoen aan veiligheidsvoorschriften). </w:t>
      </w:r>
    </w:p>
    <w:p w14:paraId="40BF156E" w14:textId="3FB5C373" w:rsidR="00D165E5" w:rsidRDefault="00D165E5" w:rsidP="00405ABD">
      <w:pPr>
        <w:ind w:left="720"/>
        <w:rPr>
          <w:lang w:val="nl-NL"/>
        </w:rPr>
      </w:pPr>
    </w:p>
    <w:p w14:paraId="3652D197" w14:textId="77777777" w:rsidR="003414A8" w:rsidRDefault="00405ABD" w:rsidP="00405ABD">
      <w:pPr>
        <w:ind w:left="720"/>
        <w:rPr>
          <w:lang w:val="nl-NL"/>
        </w:rPr>
      </w:pPr>
      <w:r>
        <w:rPr>
          <w:lang w:val="nl-NL"/>
        </w:rPr>
        <w:t xml:space="preserve">Hoewel de notitie met deze voorwaarden </w:t>
      </w:r>
      <w:r w:rsidR="007B2129">
        <w:rPr>
          <w:lang w:val="nl-NL"/>
        </w:rPr>
        <w:t xml:space="preserve">voor activering veel verwarring heeft weggenomen, </w:t>
      </w:r>
      <w:r w:rsidR="003414A8">
        <w:rPr>
          <w:lang w:val="nl-NL"/>
        </w:rPr>
        <w:t xml:space="preserve">duidde </w:t>
      </w:r>
      <w:r w:rsidR="007B2129">
        <w:rPr>
          <w:lang w:val="nl-NL"/>
        </w:rPr>
        <w:t xml:space="preserve">het netwerk de volgende onderwerpen </w:t>
      </w:r>
      <w:r w:rsidR="003414A8">
        <w:rPr>
          <w:lang w:val="nl-NL"/>
        </w:rPr>
        <w:t>die zij graag met de commissie verdiept:</w:t>
      </w:r>
    </w:p>
    <w:p w14:paraId="4C9F8467" w14:textId="3BEBF63F" w:rsidR="00730397" w:rsidRDefault="00531645" w:rsidP="00730397">
      <w:pPr>
        <w:pStyle w:val="Lijstalinea"/>
        <w:numPr>
          <w:ilvl w:val="0"/>
          <w:numId w:val="3"/>
        </w:numPr>
        <w:rPr>
          <w:rFonts w:eastAsia="Times New Roman"/>
        </w:rPr>
      </w:pPr>
      <w:r>
        <w:rPr>
          <w:rFonts w:eastAsia="Times New Roman"/>
        </w:rPr>
        <w:t xml:space="preserve">Maakt het feit of je rendement maakt op je uitgave in onderhoud nog uit voor de wijze van </w:t>
      </w:r>
      <w:proofErr w:type="spellStart"/>
      <w:r>
        <w:rPr>
          <w:rFonts w:eastAsia="Times New Roman"/>
        </w:rPr>
        <w:t>boekhoudkun</w:t>
      </w:r>
      <w:r w:rsidR="009D51DE">
        <w:rPr>
          <w:rFonts w:eastAsia="Times New Roman"/>
          <w:lang w:val="nl-NL"/>
        </w:rPr>
        <w:t>d</w:t>
      </w:r>
      <w:r>
        <w:rPr>
          <w:rFonts w:eastAsia="Times New Roman"/>
        </w:rPr>
        <w:t>ige</w:t>
      </w:r>
      <w:proofErr w:type="spellEnd"/>
      <w:r>
        <w:rPr>
          <w:rFonts w:eastAsia="Times New Roman"/>
        </w:rPr>
        <w:t xml:space="preserve"> verwerking</w:t>
      </w:r>
      <w:r>
        <w:rPr>
          <w:rFonts w:eastAsia="Times New Roman"/>
          <w:lang w:val="nl-NL"/>
        </w:rPr>
        <w:t xml:space="preserve">? </w:t>
      </w:r>
      <w:r w:rsidR="0011491C">
        <w:rPr>
          <w:rFonts w:eastAsia="Times New Roman"/>
          <w:lang w:val="nl-NL"/>
        </w:rPr>
        <w:t xml:space="preserve">Stel je hebt </w:t>
      </w:r>
      <w:r w:rsidR="00841CF7">
        <w:rPr>
          <w:rFonts w:eastAsia="Times New Roman"/>
          <w:lang w:val="nl-NL"/>
        </w:rPr>
        <w:t xml:space="preserve">maatregelen te nemen ter verduurzaming van je gebouwen die niet in je MJOP zijn opgenomen. </w:t>
      </w:r>
      <w:r w:rsidR="007945A0">
        <w:rPr>
          <w:rFonts w:eastAsia="Times New Roman"/>
          <w:lang w:val="nl-NL"/>
        </w:rPr>
        <w:t xml:space="preserve">De </w:t>
      </w:r>
      <w:r w:rsidR="00E55DE2">
        <w:rPr>
          <w:rFonts w:eastAsia="Times New Roman"/>
          <w:lang w:val="nl-NL"/>
        </w:rPr>
        <w:t>maatregelen genereren een positief exploitatieresultaat, te weten lagere energielasten.</w:t>
      </w:r>
      <w:r w:rsidR="007945A0">
        <w:rPr>
          <w:rFonts w:eastAsia="Times New Roman"/>
          <w:lang w:val="nl-NL"/>
        </w:rPr>
        <w:t xml:space="preserve"> </w:t>
      </w:r>
      <w:r w:rsidR="00730397">
        <w:rPr>
          <w:rFonts w:eastAsia="Times New Roman"/>
          <w:lang w:val="nl-NL"/>
        </w:rPr>
        <w:t xml:space="preserve">Welke mogelijkheden zijn er voor het activeren van </w:t>
      </w:r>
      <w:r w:rsidR="00E55DE2">
        <w:rPr>
          <w:rFonts w:eastAsia="Times New Roman"/>
          <w:lang w:val="nl-NL"/>
        </w:rPr>
        <w:t xml:space="preserve">dit soort maatregelen </w:t>
      </w:r>
      <w:r w:rsidR="00C219BC">
        <w:rPr>
          <w:rFonts w:eastAsia="Times New Roman"/>
          <w:lang w:val="nl-NL"/>
        </w:rPr>
        <w:t xml:space="preserve">waar de gemeente geen geld voor heeft gereserveerd, </w:t>
      </w:r>
      <w:r w:rsidR="00FC5EF2">
        <w:rPr>
          <w:rFonts w:eastAsia="Times New Roman"/>
          <w:lang w:val="nl-NL"/>
        </w:rPr>
        <w:t>maar</w:t>
      </w:r>
      <w:r w:rsidR="00C219BC">
        <w:rPr>
          <w:rFonts w:eastAsia="Times New Roman"/>
          <w:lang w:val="nl-NL"/>
        </w:rPr>
        <w:t xml:space="preserve"> </w:t>
      </w:r>
      <w:r w:rsidR="004D0FF6">
        <w:rPr>
          <w:rFonts w:eastAsia="Times New Roman"/>
          <w:lang w:val="nl-NL"/>
        </w:rPr>
        <w:t>d</w:t>
      </w:r>
      <w:r w:rsidR="00FC5EF2">
        <w:rPr>
          <w:rFonts w:eastAsia="Times New Roman"/>
          <w:lang w:val="nl-NL"/>
        </w:rPr>
        <w:t>i</w:t>
      </w:r>
      <w:r w:rsidR="004D0FF6">
        <w:rPr>
          <w:rFonts w:eastAsia="Times New Roman"/>
          <w:lang w:val="nl-NL"/>
        </w:rPr>
        <w:t xml:space="preserve">e </w:t>
      </w:r>
      <w:r w:rsidR="00FC5EF2">
        <w:rPr>
          <w:rFonts w:eastAsia="Times New Roman"/>
          <w:lang w:val="nl-NL"/>
        </w:rPr>
        <w:t xml:space="preserve">wel </w:t>
      </w:r>
      <w:r w:rsidR="004D0FF6">
        <w:rPr>
          <w:rFonts w:eastAsia="Times New Roman"/>
          <w:lang w:val="nl-NL"/>
        </w:rPr>
        <w:t>exploitatie</w:t>
      </w:r>
      <w:r w:rsidR="00FC5EF2">
        <w:rPr>
          <w:rFonts w:eastAsia="Times New Roman"/>
          <w:lang w:val="nl-NL"/>
        </w:rPr>
        <w:t>-</w:t>
      </w:r>
      <w:r w:rsidR="004D0FF6">
        <w:rPr>
          <w:rFonts w:eastAsia="Times New Roman"/>
          <w:lang w:val="nl-NL"/>
        </w:rPr>
        <w:t xml:space="preserve">opbrengsten </w:t>
      </w:r>
      <w:r w:rsidR="00134309">
        <w:rPr>
          <w:rFonts w:eastAsia="Times New Roman"/>
          <w:lang w:val="nl-NL"/>
        </w:rPr>
        <w:t>genereren</w:t>
      </w:r>
      <w:r w:rsidR="004D0FF6">
        <w:rPr>
          <w:rFonts w:eastAsia="Times New Roman"/>
          <w:lang w:val="nl-NL"/>
        </w:rPr>
        <w:t>?</w:t>
      </w:r>
      <w:r w:rsidR="002C2F0A">
        <w:rPr>
          <w:rFonts w:eastAsia="Times New Roman"/>
          <w:lang w:val="nl-NL"/>
        </w:rPr>
        <w:t xml:space="preserve"> </w:t>
      </w:r>
    </w:p>
    <w:p w14:paraId="320E3D1D" w14:textId="0E90BD0F" w:rsidR="005402CA" w:rsidRDefault="005402CA" w:rsidP="008A6CF5">
      <w:pPr>
        <w:pStyle w:val="Lijstalinea"/>
        <w:numPr>
          <w:ilvl w:val="0"/>
          <w:numId w:val="3"/>
        </w:numPr>
        <w:rPr>
          <w:rFonts w:eastAsia="Times New Roman"/>
        </w:rPr>
      </w:pPr>
      <w:r>
        <w:rPr>
          <w:rFonts w:eastAsia="Times New Roman"/>
          <w:lang w:val="nl-NL"/>
        </w:rPr>
        <w:t>Het thema</w:t>
      </w:r>
      <w:r w:rsidR="00506EE2">
        <w:rPr>
          <w:rFonts w:eastAsia="Times New Roman"/>
          <w:lang w:val="nl-NL"/>
        </w:rPr>
        <w:t xml:space="preserve"> Duurzaamheid in het algemeen</w:t>
      </w:r>
      <w:r w:rsidR="008A6CF5" w:rsidRPr="008A6CF5">
        <w:rPr>
          <w:rFonts w:eastAsia="Times New Roman"/>
        </w:rPr>
        <w:t xml:space="preserve">: Hoe </w:t>
      </w:r>
      <w:r w:rsidR="00A94CA1">
        <w:rPr>
          <w:rFonts w:eastAsia="Times New Roman"/>
          <w:lang w:val="nl-NL"/>
        </w:rPr>
        <w:t>moeten gemeenten gezien</w:t>
      </w:r>
      <w:r w:rsidR="00506EE2">
        <w:rPr>
          <w:rFonts w:eastAsia="Times New Roman"/>
          <w:lang w:val="nl-NL"/>
        </w:rPr>
        <w:t xml:space="preserve"> </w:t>
      </w:r>
      <w:r w:rsidR="008A6CF5" w:rsidRPr="008A6CF5">
        <w:rPr>
          <w:rFonts w:eastAsia="Times New Roman"/>
        </w:rPr>
        <w:t xml:space="preserve">vanuit </w:t>
      </w:r>
      <w:r w:rsidR="00506EE2">
        <w:rPr>
          <w:rFonts w:eastAsia="Times New Roman"/>
          <w:lang w:val="nl-NL"/>
        </w:rPr>
        <w:t xml:space="preserve">het </w:t>
      </w:r>
      <w:r w:rsidR="008A6CF5" w:rsidRPr="008A6CF5">
        <w:rPr>
          <w:rFonts w:eastAsia="Times New Roman"/>
        </w:rPr>
        <w:t>BBV duurzaamheids</w:t>
      </w:r>
      <w:r w:rsidR="00A94CA1">
        <w:rPr>
          <w:rFonts w:eastAsia="Times New Roman"/>
          <w:lang w:val="nl-NL"/>
        </w:rPr>
        <w:t xml:space="preserve">maatregelen </w:t>
      </w:r>
      <w:r w:rsidR="00707846">
        <w:rPr>
          <w:rFonts w:eastAsia="Times New Roman"/>
          <w:lang w:val="nl-NL"/>
        </w:rPr>
        <w:t>boekhoudkundig verwerken</w:t>
      </w:r>
      <w:r w:rsidR="002C6D91">
        <w:rPr>
          <w:rFonts w:eastAsia="Times New Roman"/>
          <w:lang w:val="nl-NL"/>
        </w:rPr>
        <w:t xml:space="preserve"> </w:t>
      </w:r>
      <w:r w:rsidR="00543FA9">
        <w:rPr>
          <w:rFonts w:eastAsia="Times New Roman"/>
          <w:lang w:val="nl-NL"/>
        </w:rPr>
        <w:t xml:space="preserve">als een significante kwaliteitsverbetering </w:t>
      </w:r>
      <w:r w:rsidR="000C29D5">
        <w:rPr>
          <w:rFonts w:eastAsia="Times New Roman"/>
          <w:lang w:val="nl-NL"/>
        </w:rPr>
        <w:t xml:space="preserve">van het gebouw zelf </w:t>
      </w:r>
      <w:r w:rsidR="00543FA9">
        <w:rPr>
          <w:rFonts w:eastAsia="Times New Roman"/>
          <w:lang w:val="nl-NL"/>
        </w:rPr>
        <w:t>discutabel is</w:t>
      </w:r>
      <w:r w:rsidR="00801121">
        <w:rPr>
          <w:rFonts w:eastAsia="Times New Roman"/>
          <w:lang w:val="nl-NL"/>
        </w:rPr>
        <w:t>?</w:t>
      </w:r>
      <w:r w:rsidR="00707846">
        <w:rPr>
          <w:rFonts w:eastAsia="Times New Roman"/>
          <w:lang w:val="nl-NL"/>
        </w:rPr>
        <w:t xml:space="preserve"> </w:t>
      </w:r>
    </w:p>
    <w:p w14:paraId="04C0AB33" w14:textId="687A4B0C" w:rsidR="00F56DCC" w:rsidRDefault="005402CA" w:rsidP="00F56DCC">
      <w:pPr>
        <w:pStyle w:val="Lijstalinea"/>
        <w:numPr>
          <w:ilvl w:val="0"/>
          <w:numId w:val="3"/>
        </w:numPr>
        <w:rPr>
          <w:rFonts w:eastAsia="Times New Roman"/>
        </w:rPr>
      </w:pPr>
      <w:r>
        <w:rPr>
          <w:rFonts w:eastAsia="Times New Roman"/>
          <w:lang w:val="nl-NL"/>
        </w:rPr>
        <w:t xml:space="preserve">Het thema </w:t>
      </w:r>
      <w:r w:rsidR="00862C07" w:rsidRPr="008A6CF5">
        <w:rPr>
          <w:rFonts w:eastAsia="Times New Roman"/>
        </w:rPr>
        <w:t>Circula</w:t>
      </w:r>
      <w:r w:rsidR="00862C07">
        <w:rPr>
          <w:rFonts w:eastAsia="Times New Roman"/>
          <w:lang w:val="nl-NL"/>
        </w:rPr>
        <w:t>riteit</w:t>
      </w:r>
      <w:r w:rsidR="009F5D6A">
        <w:rPr>
          <w:rFonts w:eastAsia="Times New Roman"/>
          <w:lang w:val="nl-NL"/>
        </w:rPr>
        <w:t>:</w:t>
      </w:r>
      <w:r w:rsidR="002E67F7" w:rsidRPr="002E67F7">
        <w:rPr>
          <w:rFonts w:eastAsia="Times New Roman"/>
          <w:lang w:val="nl-NL"/>
        </w:rPr>
        <w:t xml:space="preserve"> </w:t>
      </w:r>
      <w:r w:rsidR="009D51DE">
        <w:rPr>
          <w:rFonts w:eastAsia="Times New Roman"/>
          <w:lang w:val="nl-NL"/>
        </w:rPr>
        <w:t>In</w:t>
      </w:r>
      <w:r w:rsidR="00E80663">
        <w:rPr>
          <w:rFonts w:eastAsia="Times New Roman"/>
          <w:lang w:val="nl-NL"/>
        </w:rPr>
        <w:t xml:space="preserve"> de nota staat ‘</w:t>
      </w:r>
      <w:r w:rsidR="00E80663">
        <w:t>In de praktijk zal veelal worden afgeschreven naar een boekwaarde van € 0, omdat activa gedurende de afschrijvingsperiode technisch en economisch slijten/verouderen</w:t>
      </w:r>
      <w:r w:rsidR="00E80663">
        <w:rPr>
          <w:lang w:val="nl-NL"/>
        </w:rPr>
        <w:t>’</w:t>
      </w:r>
      <w:r w:rsidR="000E0CD9">
        <w:rPr>
          <w:lang w:val="nl-NL"/>
        </w:rPr>
        <w:t>. Inmiddels worden in de pra</w:t>
      </w:r>
      <w:r w:rsidR="009D51DE">
        <w:rPr>
          <w:lang w:val="nl-NL"/>
        </w:rPr>
        <w:t>k</w:t>
      </w:r>
      <w:r w:rsidR="000E0CD9">
        <w:rPr>
          <w:lang w:val="nl-NL"/>
        </w:rPr>
        <w:t xml:space="preserve">tijk steeds meer initiatieven ontwikkeld tot het waarderen en administreren van de grondstoffen die daarmee tot een restwaarde leiden. </w:t>
      </w:r>
      <w:r w:rsidR="002E67F7">
        <w:rPr>
          <w:rFonts w:eastAsia="Times New Roman"/>
          <w:lang w:val="nl-NL"/>
        </w:rPr>
        <w:t xml:space="preserve">In hoeverre </w:t>
      </w:r>
      <w:r w:rsidR="000E0CD9">
        <w:rPr>
          <w:rFonts w:eastAsia="Times New Roman"/>
          <w:lang w:val="nl-NL"/>
        </w:rPr>
        <w:t xml:space="preserve">staat het BBV </w:t>
      </w:r>
      <w:r w:rsidR="00C66E61">
        <w:rPr>
          <w:rFonts w:eastAsia="Times New Roman"/>
          <w:lang w:val="nl-NL"/>
        </w:rPr>
        <w:t>dit toe</w:t>
      </w:r>
      <w:r w:rsidR="002E67F7" w:rsidRPr="008A6CF5">
        <w:rPr>
          <w:rFonts w:eastAsia="Times New Roman"/>
        </w:rPr>
        <w:t>?</w:t>
      </w:r>
    </w:p>
    <w:p w14:paraId="5EB6F725" w14:textId="4CBA7087" w:rsidR="00F56DCC" w:rsidRPr="00F56DCC" w:rsidRDefault="00F56DCC" w:rsidP="00F56DCC">
      <w:pPr>
        <w:pStyle w:val="Lijstalinea"/>
        <w:numPr>
          <w:ilvl w:val="0"/>
          <w:numId w:val="3"/>
        </w:numPr>
        <w:rPr>
          <w:rFonts w:eastAsia="Times New Roman"/>
        </w:rPr>
      </w:pPr>
      <w:r w:rsidRPr="00F56DCC">
        <w:rPr>
          <w:rFonts w:eastAsia="Times New Roman"/>
          <w:lang w:val="nl-NL"/>
        </w:rPr>
        <w:t xml:space="preserve">Gaat het begrip </w:t>
      </w:r>
      <w:r w:rsidRPr="00F56DCC">
        <w:rPr>
          <w:rFonts w:eastAsia="Times New Roman"/>
        </w:rPr>
        <w:t>Levensduurverlengend over technisch of economisch?</w:t>
      </w:r>
    </w:p>
    <w:p w14:paraId="427AE165" w14:textId="503DBE21" w:rsidR="00C66E61" w:rsidRDefault="00C66E61" w:rsidP="00FA1451">
      <w:pPr>
        <w:ind w:left="720"/>
        <w:rPr>
          <w:rFonts w:eastAsia="Times New Roman"/>
        </w:rPr>
      </w:pPr>
    </w:p>
    <w:p w14:paraId="2E1A8DBE" w14:textId="77777777" w:rsidR="00FB3771" w:rsidRPr="00FB3771" w:rsidRDefault="00FB3771" w:rsidP="00FA1451">
      <w:pPr>
        <w:numPr>
          <w:ilvl w:val="0"/>
          <w:numId w:val="2"/>
        </w:numPr>
        <w:spacing w:after="0" w:line="240" w:lineRule="auto"/>
        <w:rPr>
          <w:rFonts w:eastAsia="Times New Roman"/>
        </w:rPr>
      </w:pPr>
      <w:r>
        <w:rPr>
          <w:rFonts w:eastAsia="Times New Roman"/>
          <w:b/>
          <w:lang w:val="nl-NL"/>
        </w:rPr>
        <w:t>Het momentum van vervallen van</w:t>
      </w:r>
      <w:r w:rsidR="00FA1451">
        <w:rPr>
          <w:rFonts w:eastAsia="Times New Roman"/>
          <w:b/>
        </w:rPr>
        <w:t xml:space="preserve"> de intentie tot duurzame exploitatie</w:t>
      </w:r>
    </w:p>
    <w:p w14:paraId="5EE96728" w14:textId="77777777" w:rsidR="00F56DCC" w:rsidRDefault="00FA1451" w:rsidP="00F56DCC">
      <w:pPr>
        <w:spacing w:after="0" w:line="240" w:lineRule="auto"/>
        <w:ind w:left="720"/>
        <w:rPr>
          <w:rFonts w:eastAsia="Times New Roman"/>
          <w:lang w:val="nl-NL"/>
        </w:rPr>
      </w:pPr>
      <w:r>
        <w:rPr>
          <w:rFonts w:eastAsia="Times New Roman"/>
        </w:rPr>
        <w:t>Voorbeeld</w:t>
      </w:r>
      <w:r w:rsidR="00FB3771">
        <w:rPr>
          <w:rFonts w:eastAsia="Times New Roman"/>
          <w:lang w:val="nl-NL"/>
        </w:rPr>
        <w:t xml:space="preserve">: een gemeente onderzoekt </w:t>
      </w:r>
      <w:r w:rsidR="00187ED5">
        <w:rPr>
          <w:rFonts w:eastAsia="Times New Roman"/>
          <w:lang w:val="nl-NL"/>
        </w:rPr>
        <w:t>de mogelijkheden van verkoop van het lokale voetbalstadion dat zij tot da</w:t>
      </w:r>
      <w:r w:rsidR="0024576C">
        <w:rPr>
          <w:rFonts w:eastAsia="Times New Roman"/>
          <w:lang w:val="nl-NL"/>
        </w:rPr>
        <w:t>t moment</w:t>
      </w:r>
      <w:r w:rsidR="00187ED5">
        <w:rPr>
          <w:rFonts w:eastAsia="Times New Roman"/>
          <w:lang w:val="nl-NL"/>
        </w:rPr>
        <w:t xml:space="preserve"> duurzaam in exploitatie </w:t>
      </w:r>
      <w:r w:rsidR="0024576C">
        <w:rPr>
          <w:rFonts w:eastAsia="Times New Roman"/>
          <w:lang w:val="nl-NL"/>
        </w:rPr>
        <w:t xml:space="preserve">heeft gehad en afhankelijk van de uitkomsten van het onderzoek </w:t>
      </w:r>
      <w:r w:rsidR="00C05DC7">
        <w:rPr>
          <w:rFonts w:eastAsia="Times New Roman"/>
          <w:lang w:val="nl-NL"/>
        </w:rPr>
        <w:t xml:space="preserve">mogelijk ook blijft hebben. Wanneer is het moment van het nemen van de duurzame waardevermindering: </w:t>
      </w:r>
      <w:r w:rsidR="00020A7D">
        <w:rPr>
          <w:rFonts w:eastAsia="Times New Roman"/>
          <w:lang w:val="nl-NL"/>
        </w:rPr>
        <w:t xml:space="preserve">bij de start van dit onderzoek, bij </w:t>
      </w:r>
      <w:r w:rsidR="00020A7D">
        <w:rPr>
          <w:rFonts w:eastAsia="Times New Roman"/>
          <w:lang w:val="nl-NL"/>
        </w:rPr>
        <w:lastRenderedPageBreak/>
        <w:t xml:space="preserve">besluitvorming over </w:t>
      </w:r>
      <w:r w:rsidR="007B3F36">
        <w:rPr>
          <w:rFonts w:eastAsia="Times New Roman"/>
          <w:lang w:val="nl-NL"/>
        </w:rPr>
        <w:t xml:space="preserve">het voornemen tot verkoop naar aanleiding van dit onderzoek of bij </w:t>
      </w:r>
      <w:r>
        <w:rPr>
          <w:rFonts w:eastAsia="Times New Roman"/>
        </w:rPr>
        <w:t>daadwerkelijke verkoop pas?</w:t>
      </w:r>
      <w:r w:rsidR="00E06622">
        <w:rPr>
          <w:rFonts w:eastAsia="Times New Roman"/>
          <w:lang w:val="nl-NL"/>
        </w:rPr>
        <w:t xml:space="preserve"> Immers, het mandaat voor verkoop van objecten ligt vaak bij het hoofd Vastgoed</w:t>
      </w:r>
      <w:r w:rsidR="00141EF6">
        <w:rPr>
          <w:rFonts w:eastAsia="Times New Roman"/>
          <w:lang w:val="nl-NL"/>
        </w:rPr>
        <w:t>; daar is ‘slechts’ een minder formeel MT- of directiebesluit voor nodig.</w:t>
      </w:r>
      <w:r w:rsidR="007A2F7D">
        <w:rPr>
          <w:rFonts w:eastAsia="Times New Roman"/>
          <w:lang w:val="nl-NL"/>
        </w:rPr>
        <w:br/>
        <w:t xml:space="preserve">Klopt de uitleg van het netwerk dat </w:t>
      </w:r>
      <w:r>
        <w:rPr>
          <w:rFonts w:eastAsia="Times New Roman"/>
        </w:rPr>
        <w:t xml:space="preserve">bij moment </w:t>
      </w:r>
      <w:r w:rsidR="007A2F7D">
        <w:rPr>
          <w:rFonts w:eastAsia="Times New Roman"/>
          <w:lang w:val="nl-NL"/>
        </w:rPr>
        <w:t xml:space="preserve">van het </w:t>
      </w:r>
      <w:r>
        <w:rPr>
          <w:rFonts w:eastAsia="Times New Roman"/>
        </w:rPr>
        <w:t>formeel besluit tot verkoop sprake</w:t>
      </w:r>
      <w:r w:rsidR="001E0C1E">
        <w:rPr>
          <w:rFonts w:eastAsia="Times New Roman"/>
          <w:lang w:val="nl-NL"/>
        </w:rPr>
        <w:t xml:space="preserve"> is</w:t>
      </w:r>
      <w:r>
        <w:rPr>
          <w:rFonts w:eastAsia="Times New Roman"/>
        </w:rPr>
        <w:t xml:space="preserve"> van duurzame waardevermindering</w:t>
      </w:r>
      <w:r w:rsidR="001E0C1E">
        <w:rPr>
          <w:rFonts w:eastAsia="Times New Roman"/>
          <w:lang w:val="nl-NL"/>
        </w:rPr>
        <w:t>?</w:t>
      </w:r>
    </w:p>
    <w:p w14:paraId="70EAF028" w14:textId="77777777" w:rsidR="00F56DCC" w:rsidRDefault="00F56DCC" w:rsidP="00F56DCC">
      <w:pPr>
        <w:spacing w:after="0" w:line="240" w:lineRule="auto"/>
        <w:ind w:left="720"/>
        <w:rPr>
          <w:rFonts w:eastAsia="Times New Roman"/>
          <w:b/>
        </w:rPr>
      </w:pPr>
    </w:p>
    <w:p w14:paraId="4108B7A6" w14:textId="3B276217" w:rsidR="006C4F11" w:rsidRPr="00F56DCC" w:rsidRDefault="006C4F11" w:rsidP="00F56DCC">
      <w:pPr>
        <w:pStyle w:val="Lijstalinea"/>
        <w:numPr>
          <w:ilvl w:val="0"/>
          <w:numId w:val="2"/>
        </w:numPr>
        <w:spacing w:after="0" w:line="240" w:lineRule="auto"/>
        <w:rPr>
          <w:rFonts w:eastAsia="Times New Roman"/>
          <w:lang w:val="nl-NL"/>
        </w:rPr>
      </w:pPr>
      <w:r w:rsidRPr="00F56DCC">
        <w:rPr>
          <w:rFonts w:eastAsia="Times New Roman"/>
          <w:b/>
        </w:rPr>
        <w:t>Verkrijging bestaand vastgoed</w:t>
      </w:r>
    </w:p>
    <w:p w14:paraId="795CA762" w14:textId="48517F3A" w:rsidR="00206320" w:rsidRPr="00206320" w:rsidRDefault="00206320" w:rsidP="00206320">
      <w:pPr>
        <w:spacing w:after="0" w:line="240" w:lineRule="auto"/>
        <w:ind w:left="720"/>
        <w:rPr>
          <w:rFonts w:eastAsia="Times New Roman"/>
          <w:lang w:val="nl-NL"/>
        </w:rPr>
      </w:pPr>
      <w:r>
        <w:rPr>
          <w:rFonts w:eastAsia="Times New Roman"/>
          <w:lang w:val="nl-NL"/>
        </w:rPr>
        <w:t>Over het verkrijgen van bestaand vastgoed heeft het netwerk de volgende vragen:</w:t>
      </w:r>
    </w:p>
    <w:p w14:paraId="067A31ED" w14:textId="42DA8EA6" w:rsidR="006C4F11" w:rsidRDefault="00181EB2" w:rsidP="006C4F11">
      <w:pPr>
        <w:numPr>
          <w:ilvl w:val="1"/>
          <w:numId w:val="6"/>
        </w:numPr>
        <w:spacing w:after="0" w:line="240" w:lineRule="auto"/>
        <w:rPr>
          <w:rFonts w:eastAsia="Times New Roman"/>
        </w:rPr>
      </w:pPr>
      <w:r>
        <w:rPr>
          <w:rFonts w:eastAsia="Times New Roman"/>
          <w:lang w:val="nl-NL"/>
        </w:rPr>
        <w:t>Moet dit vastgoed gesplitst worden</w:t>
      </w:r>
      <w:r w:rsidR="006C4F11">
        <w:rPr>
          <w:rFonts w:eastAsia="Times New Roman"/>
        </w:rPr>
        <w:t xml:space="preserve"> in grond en opstal</w:t>
      </w:r>
      <w:r>
        <w:rPr>
          <w:rFonts w:eastAsia="Times New Roman"/>
          <w:lang w:val="nl-NL"/>
        </w:rPr>
        <w:t xml:space="preserve"> bij aankoop? </w:t>
      </w:r>
      <w:r w:rsidR="00685DF9">
        <w:rPr>
          <w:rFonts w:eastAsia="Times New Roman"/>
          <w:lang w:val="nl-NL"/>
        </w:rPr>
        <w:t>Hier staat niets over in de nota MVA, maar het lijkt het netwerk zinvol hierover wat op te nemen</w:t>
      </w:r>
      <w:r w:rsidR="00A95A4B">
        <w:rPr>
          <w:rFonts w:eastAsia="Times New Roman"/>
          <w:lang w:val="nl-NL"/>
        </w:rPr>
        <w:t>, bijvoorbeeld dat je de keuze hebt tot splitsing of niet, maar dat je dat direct bij de verkrijging moet doen. Daarna mag het niet meer.</w:t>
      </w:r>
    </w:p>
    <w:p w14:paraId="18DA03AD" w14:textId="0AC50182" w:rsidR="006C4F11" w:rsidRDefault="006C4F11" w:rsidP="006C4F11">
      <w:pPr>
        <w:numPr>
          <w:ilvl w:val="1"/>
          <w:numId w:val="6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Bepaling restant afschrijftermijn</w:t>
      </w:r>
      <w:r w:rsidR="00E66697">
        <w:rPr>
          <w:rFonts w:eastAsia="Times New Roman"/>
          <w:lang w:val="nl-NL"/>
        </w:rPr>
        <w:t xml:space="preserve">: Zijn er vanuit het BBV voorschriften voor de afschrijftermijn van </w:t>
      </w:r>
      <w:r w:rsidR="004437BD">
        <w:rPr>
          <w:rFonts w:eastAsia="Times New Roman"/>
          <w:lang w:val="nl-NL"/>
        </w:rPr>
        <w:t>bestaand Vastgoed dat door de gemeente verworven wordt?</w:t>
      </w:r>
    </w:p>
    <w:p w14:paraId="5E225FE1" w14:textId="76C9A215" w:rsidR="006C4F11" w:rsidRDefault="006C4F11" w:rsidP="00FA1451">
      <w:pPr>
        <w:ind w:left="720"/>
        <w:rPr>
          <w:rFonts w:eastAsia="Times New Roman"/>
        </w:rPr>
      </w:pPr>
    </w:p>
    <w:p w14:paraId="17171EDE" w14:textId="77777777" w:rsidR="00537A4F" w:rsidRDefault="00537A4F" w:rsidP="00537A4F">
      <w:pPr>
        <w:numPr>
          <w:ilvl w:val="0"/>
          <w:numId w:val="2"/>
        </w:numPr>
        <w:spacing w:after="0" w:line="240" w:lineRule="auto"/>
        <w:rPr>
          <w:rFonts w:eastAsia="Times New Roman"/>
          <w:b/>
        </w:rPr>
      </w:pPr>
      <w:r>
        <w:rPr>
          <w:rFonts w:eastAsia="Times New Roman"/>
          <w:b/>
        </w:rPr>
        <w:t>Afschrijfmethodiek</w:t>
      </w:r>
    </w:p>
    <w:p w14:paraId="1A5ABB89" w14:textId="35FA36FC" w:rsidR="00706986" w:rsidRPr="00706986" w:rsidRDefault="00706986" w:rsidP="00706986">
      <w:pPr>
        <w:numPr>
          <w:ilvl w:val="1"/>
          <w:numId w:val="6"/>
        </w:numPr>
        <w:spacing w:after="0" w:line="240" w:lineRule="auto"/>
        <w:rPr>
          <w:rFonts w:eastAsia="Times New Roman"/>
        </w:rPr>
      </w:pPr>
      <w:r>
        <w:rPr>
          <w:rFonts w:eastAsia="Times New Roman"/>
          <w:lang w:val="nl-NL"/>
        </w:rPr>
        <w:t xml:space="preserve">De </w:t>
      </w:r>
      <w:r w:rsidR="00F87076">
        <w:rPr>
          <w:rFonts w:eastAsia="Times New Roman"/>
          <w:lang w:val="nl-NL"/>
        </w:rPr>
        <w:t>afschrijfmethodiek vraagt een goede afstemming tussen Vastgoed en Financiën, maar die is er te vaak te weinig</w:t>
      </w:r>
      <w:r w:rsidR="006D2C7E">
        <w:rPr>
          <w:rFonts w:eastAsia="Times New Roman"/>
          <w:lang w:val="nl-NL"/>
        </w:rPr>
        <w:t xml:space="preserve">. Het zou goed zijn als </w:t>
      </w:r>
      <w:r w:rsidR="008F7D94">
        <w:rPr>
          <w:rFonts w:eastAsia="Times New Roman"/>
          <w:lang w:val="nl-NL"/>
        </w:rPr>
        <w:t>het</w:t>
      </w:r>
      <w:r w:rsidR="006D2C7E">
        <w:rPr>
          <w:rFonts w:eastAsia="Times New Roman"/>
          <w:lang w:val="nl-NL"/>
        </w:rPr>
        <w:t xml:space="preserve"> proces tussen Vastgoed en Financiën </w:t>
      </w:r>
      <w:r w:rsidR="008F7D94">
        <w:rPr>
          <w:rFonts w:eastAsia="Times New Roman"/>
          <w:lang w:val="nl-NL"/>
        </w:rPr>
        <w:t xml:space="preserve">structureler gevoerd wordt. </w:t>
      </w:r>
      <w:r w:rsidR="00D6717F">
        <w:rPr>
          <w:rFonts w:eastAsia="Times New Roman"/>
          <w:lang w:val="nl-NL"/>
        </w:rPr>
        <w:t>Onderwerpen zijn onder meer:</w:t>
      </w:r>
    </w:p>
    <w:p w14:paraId="2542FA35" w14:textId="77777777" w:rsidR="00E542FF" w:rsidRDefault="00537A4F" w:rsidP="00E542FF">
      <w:pPr>
        <w:numPr>
          <w:ilvl w:val="2"/>
          <w:numId w:val="6"/>
        </w:numPr>
        <w:spacing w:after="0" w:line="240" w:lineRule="auto"/>
        <w:rPr>
          <w:rFonts w:eastAsia="Times New Roman"/>
        </w:rPr>
      </w:pPr>
      <w:r>
        <w:rPr>
          <w:rFonts w:eastAsia="Times New Roman"/>
          <w:lang w:val="nl-NL"/>
        </w:rPr>
        <w:t>De a</w:t>
      </w:r>
      <w:r>
        <w:rPr>
          <w:rFonts w:eastAsia="Times New Roman"/>
        </w:rPr>
        <w:t xml:space="preserve">fschrijfmethodiek </w:t>
      </w:r>
      <w:r>
        <w:rPr>
          <w:rFonts w:eastAsia="Times New Roman"/>
          <w:lang w:val="nl-NL"/>
        </w:rPr>
        <w:t xml:space="preserve">is voor gemeenten </w:t>
      </w:r>
      <w:r>
        <w:rPr>
          <w:rFonts w:eastAsia="Times New Roman"/>
        </w:rPr>
        <w:t>niet voorgeschreven</w:t>
      </w:r>
      <w:r>
        <w:rPr>
          <w:rFonts w:eastAsia="Times New Roman"/>
          <w:lang w:val="nl-NL"/>
        </w:rPr>
        <w:t xml:space="preserve">. Vaak </w:t>
      </w:r>
      <w:r w:rsidR="003C7F83">
        <w:rPr>
          <w:rFonts w:eastAsia="Times New Roman"/>
          <w:lang w:val="nl-NL"/>
        </w:rPr>
        <w:t>is dit bij gemeenten de l</w:t>
      </w:r>
      <w:r>
        <w:rPr>
          <w:rFonts w:eastAsia="Times New Roman"/>
        </w:rPr>
        <w:t>ineair</w:t>
      </w:r>
      <w:r w:rsidR="003C7F83">
        <w:rPr>
          <w:rFonts w:eastAsia="Times New Roman"/>
          <w:lang w:val="nl-NL"/>
        </w:rPr>
        <w:t>e. Dit s</w:t>
      </w:r>
      <w:r>
        <w:rPr>
          <w:rFonts w:eastAsia="Times New Roman"/>
        </w:rPr>
        <w:t xml:space="preserve">luit </w:t>
      </w:r>
      <w:r w:rsidR="003C7F83">
        <w:rPr>
          <w:rFonts w:eastAsia="Times New Roman"/>
          <w:lang w:val="nl-NL"/>
        </w:rPr>
        <w:t xml:space="preserve">echter slecht </w:t>
      </w:r>
      <w:r>
        <w:rPr>
          <w:rFonts w:eastAsia="Times New Roman"/>
        </w:rPr>
        <w:t xml:space="preserve">aan bij </w:t>
      </w:r>
      <w:r w:rsidR="003C7F83">
        <w:rPr>
          <w:rFonts w:eastAsia="Times New Roman"/>
          <w:lang w:val="nl-NL"/>
        </w:rPr>
        <w:t xml:space="preserve">de omzetontwikkeling van de </w:t>
      </w:r>
      <w:r>
        <w:rPr>
          <w:rFonts w:eastAsia="Times New Roman"/>
        </w:rPr>
        <w:t xml:space="preserve">gebruiker </w:t>
      </w:r>
      <w:r w:rsidR="003C7F83">
        <w:rPr>
          <w:rFonts w:eastAsia="Times New Roman"/>
          <w:lang w:val="nl-NL"/>
        </w:rPr>
        <w:t xml:space="preserve">van het </w:t>
      </w:r>
      <w:r>
        <w:rPr>
          <w:rFonts w:eastAsia="Times New Roman"/>
        </w:rPr>
        <w:t>vastgoed</w:t>
      </w:r>
      <w:r w:rsidR="00706986">
        <w:rPr>
          <w:rFonts w:eastAsia="Times New Roman"/>
          <w:lang w:val="nl-NL"/>
        </w:rPr>
        <w:t>.</w:t>
      </w:r>
      <w:r w:rsidR="00E542FF" w:rsidRPr="00E542FF">
        <w:rPr>
          <w:rFonts w:eastAsia="Times New Roman"/>
        </w:rPr>
        <w:t xml:space="preserve"> </w:t>
      </w:r>
    </w:p>
    <w:p w14:paraId="6B55ED2F" w14:textId="5C1A9D9E" w:rsidR="00E542FF" w:rsidRDefault="00981B04" w:rsidP="00E542FF">
      <w:pPr>
        <w:numPr>
          <w:ilvl w:val="2"/>
          <w:numId w:val="6"/>
        </w:numPr>
        <w:spacing w:after="0" w:line="240" w:lineRule="auto"/>
        <w:rPr>
          <w:rFonts w:eastAsia="Times New Roman"/>
        </w:rPr>
      </w:pPr>
      <w:r>
        <w:rPr>
          <w:rFonts w:eastAsia="Times New Roman"/>
          <w:lang w:val="nl-NL"/>
        </w:rPr>
        <w:t xml:space="preserve">Welke restwaarde te kiezen van het Vastgoed </w:t>
      </w:r>
      <w:r w:rsidR="00E542FF">
        <w:rPr>
          <w:rFonts w:eastAsia="Times New Roman"/>
        </w:rPr>
        <w:t xml:space="preserve"> je in je risicobeheersing de waarde van je vastgoed terug laten komen?</w:t>
      </w:r>
    </w:p>
    <w:p w14:paraId="19C2578D" w14:textId="07B1BBC8" w:rsidR="00A519CD" w:rsidRPr="00A519CD" w:rsidRDefault="00A519CD" w:rsidP="00D6717F">
      <w:pPr>
        <w:numPr>
          <w:ilvl w:val="2"/>
          <w:numId w:val="6"/>
        </w:numPr>
        <w:spacing w:after="0" w:line="240" w:lineRule="auto"/>
        <w:rPr>
          <w:rFonts w:eastAsia="Times New Roman"/>
        </w:rPr>
      </w:pPr>
      <w:r>
        <w:rPr>
          <w:rFonts w:eastAsia="Times New Roman"/>
          <w:lang w:val="nl-NL"/>
        </w:rPr>
        <w:t xml:space="preserve">Het opstellen van de </w:t>
      </w:r>
      <w:r w:rsidR="00537A4F" w:rsidRPr="00706986">
        <w:rPr>
          <w:rFonts w:eastAsia="Times New Roman"/>
        </w:rPr>
        <w:t xml:space="preserve">afschrijvingstabel </w:t>
      </w:r>
      <w:r>
        <w:rPr>
          <w:rFonts w:eastAsia="Times New Roman"/>
          <w:lang w:val="nl-NL"/>
        </w:rPr>
        <w:t xml:space="preserve">vraagt goede afstemming tussen Vastgoed en Financiën om </w:t>
      </w:r>
      <w:r w:rsidR="00E542FF">
        <w:rPr>
          <w:rFonts w:eastAsia="Times New Roman"/>
          <w:lang w:val="nl-NL"/>
        </w:rPr>
        <w:t>aansluiting te vinden tussen de termijnen en levensduren in de praktijk en om de juiste categorieën te definiëren.</w:t>
      </w:r>
    </w:p>
    <w:p w14:paraId="305BE442" w14:textId="4EE56D75" w:rsidR="00537A4F" w:rsidRPr="006D2C7E" w:rsidRDefault="008F7D94" w:rsidP="006D2C7E">
      <w:pPr>
        <w:numPr>
          <w:ilvl w:val="1"/>
          <w:numId w:val="6"/>
        </w:numPr>
        <w:spacing w:after="0" w:line="240" w:lineRule="auto"/>
        <w:rPr>
          <w:rFonts w:eastAsia="Times New Roman"/>
        </w:rPr>
      </w:pPr>
      <w:r>
        <w:rPr>
          <w:rFonts w:eastAsia="Times New Roman"/>
          <w:lang w:val="nl-NL"/>
        </w:rPr>
        <w:t>Een idee kan zijn dat</w:t>
      </w:r>
      <w:r w:rsidR="00037F8A" w:rsidRPr="006D2C7E">
        <w:rPr>
          <w:rFonts w:eastAsia="Times New Roman"/>
          <w:lang w:val="nl-NL"/>
        </w:rPr>
        <w:t xml:space="preserve"> het </w:t>
      </w:r>
      <w:r w:rsidR="00537A4F" w:rsidRPr="006D2C7E">
        <w:rPr>
          <w:rFonts w:eastAsia="Times New Roman"/>
        </w:rPr>
        <w:t xml:space="preserve">BBV gemeenten </w:t>
      </w:r>
      <w:r w:rsidR="00037F8A" w:rsidRPr="006D2C7E">
        <w:rPr>
          <w:rFonts w:eastAsia="Times New Roman"/>
          <w:lang w:val="nl-NL"/>
        </w:rPr>
        <w:t xml:space="preserve">verplicht </w:t>
      </w:r>
      <w:r w:rsidR="00537A4F" w:rsidRPr="006D2C7E">
        <w:rPr>
          <w:rFonts w:eastAsia="Times New Roman"/>
        </w:rPr>
        <w:t>de onderbouwing van de afschrijvingstabel op te nemen</w:t>
      </w:r>
      <w:r w:rsidR="00037F8A" w:rsidRPr="006D2C7E">
        <w:rPr>
          <w:rFonts w:eastAsia="Times New Roman"/>
          <w:lang w:val="nl-NL"/>
        </w:rPr>
        <w:t xml:space="preserve"> bij de tabel zelf</w:t>
      </w:r>
      <w:r w:rsidR="00537A4F" w:rsidRPr="006D2C7E">
        <w:rPr>
          <w:rFonts w:eastAsia="Times New Roman"/>
        </w:rPr>
        <w:t xml:space="preserve">. </w:t>
      </w:r>
    </w:p>
    <w:p w14:paraId="5BE6BC40" w14:textId="77777777" w:rsidR="00730397" w:rsidRDefault="00730397" w:rsidP="00730397">
      <w:pPr>
        <w:rPr>
          <w:rFonts w:eastAsia="Times New Roman"/>
        </w:rPr>
      </w:pPr>
    </w:p>
    <w:p w14:paraId="3B17DC95" w14:textId="65BD2E57" w:rsidR="00405ABD" w:rsidRDefault="00405ABD" w:rsidP="00405ABD">
      <w:pPr>
        <w:ind w:left="720"/>
        <w:rPr>
          <w:lang w:val="nl-NL"/>
        </w:rPr>
      </w:pPr>
    </w:p>
    <w:p w14:paraId="2C29D07A" w14:textId="77777777" w:rsidR="00CD2CBC" w:rsidRDefault="00CD2CBC">
      <w:pPr>
        <w:rPr>
          <w:lang w:val="nl-NL"/>
        </w:rPr>
      </w:pPr>
    </w:p>
    <w:p w14:paraId="2C4E7E37" w14:textId="77777777" w:rsidR="00C66E61" w:rsidRDefault="00C66E61">
      <w:pPr>
        <w:rPr>
          <w:lang w:val="nl-NL"/>
        </w:rPr>
      </w:pPr>
    </w:p>
    <w:p w14:paraId="25D1080F" w14:textId="77777777" w:rsidR="00C66E61" w:rsidRDefault="00C66E61" w:rsidP="00C66E61">
      <w:pPr>
        <w:rPr>
          <w:rFonts w:eastAsia="Times New Roman"/>
        </w:rPr>
      </w:pPr>
    </w:p>
    <w:sectPr w:rsidR="00C66E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876427"/>
    <w:multiLevelType w:val="hybridMultilevel"/>
    <w:tmpl w:val="662031EE"/>
    <w:lvl w:ilvl="0" w:tplc="1000000F">
      <w:start w:val="1"/>
      <w:numFmt w:val="decimal"/>
      <w:lvlText w:val="%1."/>
      <w:lvlJc w:val="left"/>
      <w:pPr>
        <w:ind w:left="720" w:hanging="360"/>
      </w:p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4909F4"/>
    <w:multiLevelType w:val="hybridMultilevel"/>
    <w:tmpl w:val="F7AE51B8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880295D"/>
    <w:multiLevelType w:val="hybridMultilevel"/>
    <w:tmpl w:val="41B07712"/>
    <w:lvl w:ilvl="0" w:tplc="100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0592106"/>
    <w:multiLevelType w:val="hybridMultilevel"/>
    <w:tmpl w:val="E9F633FE"/>
    <w:lvl w:ilvl="0" w:tplc="100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E58A1A2">
      <w:start w:val="9035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649E994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B0F8986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04A0C91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08CCD35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6B3EC4C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116CC2A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DF1E36D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3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3B1"/>
    <w:rsid w:val="00020A7D"/>
    <w:rsid w:val="00037F8A"/>
    <w:rsid w:val="000C29D5"/>
    <w:rsid w:val="000E0CD9"/>
    <w:rsid w:val="0011491C"/>
    <w:rsid w:val="0011533B"/>
    <w:rsid w:val="00134309"/>
    <w:rsid w:val="00141EF6"/>
    <w:rsid w:val="00181EB2"/>
    <w:rsid w:val="00187ED5"/>
    <w:rsid w:val="001E0C1E"/>
    <w:rsid w:val="00206320"/>
    <w:rsid w:val="0024576C"/>
    <w:rsid w:val="002C2F0A"/>
    <w:rsid w:val="002C6D91"/>
    <w:rsid w:val="002E67F7"/>
    <w:rsid w:val="003414A8"/>
    <w:rsid w:val="003A57AE"/>
    <w:rsid w:val="003C7F83"/>
    <w:rsid w:val="003F291D"/>
    <w:rsid w:val="00405ABD"/>
    <w:rsid w:val="004437BD"/>
    <w:rsid w:val="004B1804"/>
    <w:rsid w:val="004D0FF6"/>
    <w:rsid w:val="00506EE2"/>
    <w:rsid w:val="00531645"/>
    <w:rsid w:val="00537A4F"/>
    <w:rsid w:val="005402CA"/>
    <w:rsid w:val="00543FA9"/>
    <w:rsid w:val="00685DF9"/>
    <w:rsid w:val="006C4F11"/>
    <w:rsid w:val="006D2C7E"/>
    <w:rsid w:val="00706986"/>
    <w:rsid w:val="00707846"/>
    <w:rsid w:val="00730397"/>
    <w:rsid w:val="007544BA"/>
    <w:rsid w:val="007555E6"/>
    <w:rsid w:val="007820D6"/>
    <w:rsid w:val="00783FC1"/>
    <w:rsid w:val="007945A0"/>
    <w:rsid w:val="007A2F7D"/>
    <w:rsid w:val="007B2129"/>
    <w:rsid w:val="007B3F36"/>
    <w:rsid w:val="007B6F6F"/>
    <w:rsid w:val="00801121"/>
    <w:rsid w:val="00841CF7"/>
    <w:rsid w:val="00862C07"/>
    <w:rsid w:val="008A6CF5"/>
    <w:rsid w:val="008C0755"/>
    <w:rsid w:val="008F7D94"/>
    <w:rsid w:val="00981B04"/>
    <w:rsid w:val="009D1517"/>
    <w:rsid w:val="009D51DE"/>
    <w:rsid w:val="009F5D6A"/>
    <w:rsid w:val="00A519CD"/>
    <w:rsid w:val="00A60971"/>
    <w:rsid w:val="00A94CA1"/>
    <w:rsid w:val="00A95A4B"/>
    <w:rsid w:val="00B6180B"/>
    <w:rsid w:val="00C05DC7"/>
    <w:rsid w:val="00C219BC"/>
    <w:rsid w:val="00C66E61"/>
    <w:rsid w:val="00CD2CBC"/>
    <w:rsid w:val="00D068EE"/>
    <w:rsid w:val="00D165E5"/>
    <w:rsid w:val="00D36108"/>
    <w:rsid w:val="00D6717F"/>
    <w:rsid w:val="00E06622"/>
    <w:rsid w:val="00E542FF"/>
    <w:rsid w:val="00E55DE2"/>
    <w:rsid w:val="00E66697"/>
    <w:rsid w:val="00E76C16"/>
    <w:rsid w:val="00E80663"/>
    <w:rsid w:val="00F56DCC"/>
    <w:rsid w:val="00F87076"/>
    <w:rsid w:val="00FA1451"/>
    <w:rsid w:val="00FB3771"/>
    <w:rsid w:val="00FC5EF2"/>
    <w:rsid w:val="00FD0C29"/>
    <w:rsid w:val="00FE0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498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x-non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D165E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nl-NL"/>
    </w:rPr>
  </w:style>
  <w:style w:type="paragraph" w:styleId="Lijstalinea">
    <w:name w:val="List Paragraph"/>
    <w:basedOn w:val="Standaard"/>
    <w:uiPriority w:val="34"/>
    <w:qFormat/>
    <w:rsid w:val="00D165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x-non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D165E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nl-NL"/>
    </w:rPr>
  </w:style>
  <w:style w:type="paragraph" w:styleId="Lijstalinea">
    <w:name w:val="List Paragraph"/>
    <w:basedOn w:val="Standaard"/>
    <w:uiPriority w:val="34"/>
    <w:qFormat/>
    <w:rsid w:val="00D165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17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5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2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8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768</Words>
  <Characters>4228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Wouter van den Wildenberg MSc</dc:creator>
  <cp:keywords/>
  <dc:description/>
  <cp:lastModifiedBy>Inge</cp:lastModifiedBy>
  <cp:revision>3</cp:revision>
  <dcterms:created xsi:type="dcterms:W3CDTF">2018-05-13T20:29:00Z</dcterms:created>
  <dcterms:modified xsi:type="dcterms:W3CDTF">2018-08-27T10:29:00Z</dcterms:modified>
</cp:coreProperties>
</file>